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4D" w:rsidRPr="00943E94" w:rsidRDefault="00D3704D" w:rsidP="00871A26">
      <w:pPr>
        <w:spacing w:beforeLines="50" w:before="156" w:afterLines="50" w:after="156"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宋体" w:hint="eastAsia"/>
          <w:sz w:val="24"/>
        </w:rPr>
        <w:t>证券代码：</w:t>
      </w:r>
      <w:r w:rsidRPr="00943E94">
        <w:rPr>
          <w:rFonts w:ascii="TimesNewRoman" w:hAnsi="TimesNewRoman" w:hint="eastAsia"/>
          <w:sz w:val="24"/>
        </w:rPr>
        <w:t xml:space="preserve">300232                                </w:t>
      </w:r>
      <w:r w:rsidRPr="00943E94">
        <w:rPr>
          <w:rFonts w:ascii="TimesNewRoman" w:hAnsi="宋体" w:hint="eastAsia"/>
          <w:sz w:val="24"/>
        </w:rPr>
        <w:t>证券简称：洲明科技</w:t>
      </w:r>
      <w:r w:rsidRPr="00943E94">
        <w:rPr>
          <w:rFonts w:ascii="TimesNewRoman" w:hAnsi="TimesNewRoman" w:hint="eastAsia"/>
          <w:sz w:val="24"/>
        </w:rPr>
        <w:t xml:space="preserve"> </w:t>
      </w:r>
    </w:p>
    <w:p w:rsidR="00D3704D" w:rsidRPr="00943E94" w:rsidRDefault="00E83A63" w:rsidP="00871A26">
      <w:pPr>
        <w:spacing w:beforeLines="100" w:before="312" w:afterLines="100" w:after="312" w:line="400" w:lineRule="exact"/>
        <w:jc w:val="center"/>
        <w:rPr>
          <w:rFonts w:ascii="TimesNewRoman" w:hAnsi="TimesNewRoman" w:hint="eastAsia"/>
          <w:b/>
          <w:sz w:val="32"/>
          <w:szCs w:val="32"/>
        </w:rPr>
      </w:pPr>
      <w:r>
        <w:rPr>
          <w:rFonts w:ascii="TimesNewRoman" w:hAnsi="宋体" w:hint="eastAsia"/>
          <w:b/>
          <w:sz w:val="32"/>
          <w:szCs w:val="32"/>
        </w:rPr>
        <w:t>深圳市洲明科技股份有限公司投资者关系活动记录表（</w:t>
      </w:r>
      <w:r w:rsidR="00EC1D56">
        <w:rPr>
          <w:rFonts w:ascii="TimesNewRoman" w:hAnsi="宋体" w:hint="eastAsia"/>
          <w:b/>
          <w:sz w:val="32"/>
          <w:szCs w:val="32"/>
        </w:rPr>
        <w:t>一</w:t>
      </w:r>
      <w:r w:rsidR="00D3704D" w:rsidRPr="00943E94">
        <w:rPr>
          <w:rFonts w:ascii="TimesNewRoman" w:hAnsi="宋体" w:hint="eastAsia"/>
          <w:b/>
          <w:sz w:val="32"/>
          <w:szCs w:val="32"/>
        </w:rPr>
        <w:t>）</w:t>
      </w:r>
    </w:p>
    <w:p w:rsidR="00D3704D" w:rsidRPr="00943E94" w:rsidRDefault="00D3704D" w:rsidP="00D3704D">
      <w:pPr>
        <w:spacing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TimesNewRoman" w:hint="eastAsia"/>
          <w:sz w:val="24"/>
        </w:rPr>
        <w:t xml:space="preserve">                                                      </w:t>
      </w:r>
      <w:r w:rsidRPr="00943E94">
        <w:rPr>
          <w:rFonts w:ascii="TimesNewRoman" w:hAnsi="宋体" w:hint="eastAsia"/>
          <w:sz w:val="24"/>
        </w:rPr>
        <w:t>编号：</w:t>
      </w:r>
      <w:r w:rsidR="006F3FA6">
        <w:rPr>
          <w:rFonts w:ascii="TimesNewRoman" w:hAnsi="TimesNewRoman" w:hint="eastAsia"/>
          <w:sz w:val="24"/>
        </w:rPr>
        <w:t>201</w:t>
      </w:r>
      <w:r w:rsidR="00EC1D56">
        <w:rPr>
          <w:rFonts w:ascii="TimesNewRoman" w:hAnsi="TimesNewRoman"/>
          <w:sz w:val="24"/>
        </w:rPr>
        <w:t>8</w:t>
      </w:r>
      <w:r w:rsidR="006F3FA6">
        <w:rPr>
          <w:rFonts w:ascii="TimesNewRoman" w:hAnsi="TimesNewRoman" w:hint="eastAsia"/>
          <w:sz w:val="24"/>
        </w:rPr>
        <w:t>-00</w:t>
      </w:r>
      <w:r w:rsidR="00EC1D56">
        <w:rPr>
          <w:rFonts w:ascii="TimesNewRoman" w:hAnsi="TimesNewRoman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07"/>
        <w:gridCol w:w="3307"/>
      </w:tblGrid>
      <w:tr w:rsidR="00D3704D" w:rsidRPr="00943E94" w:rsidTr="008B460B">
        <w:trPr>
          <w:trHeight w:val="2555"/>
        </w:trPr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投资者关系活动类别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D3704D" w:rsidRPr="00943E94" w:rsidRDefault="00337761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bCs/>
                <w:iCs/>
                <w:color w:val="000000"/>
                <w:sz w:val="24"/>
              </w:rPr>
              <w:t>■</w:t>
            </w:r>
            <w:r w:rsidR="00D3704D" w:rsidRPr="00943E94">
              <w:rPr>
                <w:rFonts w:ascii="TimesNewRoman" w:hAnsi="宋体" w:hint="eastAsia"/>
                <w:sz w:val="24"/>
              </w:rPr>
              <w:t>特定对象调研</w:t>
            </w:r>
            <w:r>
              <w:rPr>
                <w:rFonts w:ascii="TimesNewRoman" w:hAnsi="TimesNewRoman" w:hint="eastAsia"/>
                <w:sz w:val="24"/>
              </w:rPr>
              <w:t xml:space="preserve">      </w:t>
            </w:r>
            <w:r w:rsidR="006F3FA6">
              <w:rPr>
                <w:rFonts w:ascii="TimesNewRoman" w:hAnsi="TimesNewRoman" w:hint="eastAsia"/>
                <w:sz w:val="24"/>
              </w:rPr>
              <w:t xml:space="preserve">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="00D3704D" w:rsidRPr="00943E94">
              <w:rPr>
                <w:rFonts w:ascii="TimesNewRoman" w:hAnsi="宋体" w:hint="eastAsia"/>
                <w:sz w:val="24"/>
              </w:rPr>
              <w:t>分析师会议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媒体采访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利润说明会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新闻发布会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路演活动</w:t>
            </w:r>
          </w:p>
          <w:p w:rsidR="00D3704D" w:rsidRPr="00943E94" w:rsidRDefault="002910E9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bCs/>
                <w:iCs/>
                <w:color w:val="000000"/>
                <w:sz w:val="24"/>
              </w:rPr>
              <w:t>■</w:t>
            </w:r>
            <w:r w:rsidR="00D3704D" w:rsidRPr="00943E94">
              <w:rPr>
                <w:rFonts w:ascii="TimesNewRoman" w:hAnsi="宋体" w:hint="eastAsia"/>
                <w:sz w:val="24"/>
              </w:rPr>
              <w:t>现场参观</w:t>
            </w:r>
            <w:r w:rsidR="00D3704D" w:rsidRPr="00943E94">
              <w:rPr>
                <w:rFonts w:ascii="TimesNewRoman" w:hAnsi="TimesNewRoman"/>
                <w:sz w:val="24"/>
              </w:rPr>
              <w:tab/>
            </w:r>
          </w:p>
          <w:p w:rsidR="00D3704D" w:rsidRPr="00943E94" w:rsidRDefault="00D3704D" w:rsidP="008004CB">
            <w:pPr>
              <w:tabs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其他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</w:t>
            </w:r>
          </w:p>
        </w:tc>
      </w:tr>
      <w:tr w:rsidR="008B460B" w:rsidRPr="00943E94" w:rsidTr="008B460B">
        <w:trPr>
          <w:trHeight w:val="957"/>
        </w:trPr>
        <w:tc>
          <w:tcPr>
            <w:tcW w:w="1908" w:type="dxa"/>
          </w:tcPr>
          <w:p w:rsidR="008B460B" w:rsidRPr="00943E94" w:rsidRDefault="008B460B" w:rsidP="004401A3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</w:tcPr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安信乾盛：方彬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禾其投资：王祥麒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进化论资产管理：侯文宽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上海综艺控股：火炎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天风天成：宋鹏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相聚资本：余晓畅</w:t>
            </w:r>
          </w:p>
          <w:p w:rsidR="008B460B" w:rsidRPr="00246516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中金公司：冯达</w:t>
            </w:r>
          </w:p>
        </w:tc>
        <w:tc>
          <w:tcPr>
            <w:tcW w:w="3307" w:type="dxa"/>
            <w:tcBorders>
              <w:left w:val="nil"/>
            </w:tcBorders>
          </w:tcPr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呈瑞投资：邵帅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华夏人寿：宫永建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凯丰投资：袁维平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盛盈资本：霍霄</w:t>
            </w:r>
          </w:p>
          <w:p w:rsid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天风证券：温玉章</w:t>
            </w:r>
          </w:p>
          <w:p w:rsidR="008B460B" w:rsidRPr="008B460B" w:rsidRDefault="008B460B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源乘投资：胡亚男</w:t>
            </w:r>
          </w:p>
        </w:tc>
      </w:tr>
      <w:tr w:rsidR="00D3704D" w:rsidRPr="00943E94" w:rsidTr="008004CB"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4401A3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/>
                <w:sz w:val="24"/>
              </w:rPr>
              <w:t>201</w:t>
            </w:r>
            <w:r w:rsidR="00EC1D56">
              <w:rPr>
                <w:rFonts w:ascii="TimesNewRoman" w:hAnsi="TimesNewRoman"/>
                <w:sz w:val="24"/>
              </w:rPr>
              <w:t>8</w:t>
            </w:r>
            <w:r w:rsidRPr="00943E94">
              <w:rPr>
                <w:rFonts w:ascii="TimesNewRoman" w:hAnsi="宋体"/>
                <w:sz w:val="24"/>
              </w:rPr>
              <w:t>年</w:t>
            </w:r>
            <w:r w:rsidR="00F019FE">
              <w:rPr>
                <w:rFonts w:ascii="TimesNewRoman" w:hAnsi="TimesNewRoman" w:hint="eastAsia"/>
                <w:sz w:val="24"/>
              </w:rPr>
              <w:t>1</w:t>
            </w:r>
            <w:r w:rsidRPr="00943E94">
              <w:rPr>
                <w:rFonts w:ascii="TimesNewRoman" w:hAnsi="宋体"/>
                <w:sz w:val="24"/>
              </w:rPr>
              <w:t>月</w:t>
            </w:r>
            <w:r w:rsidR="004401A3">
              <w:rPr>
                <w:rFonts w:ascii="TimesNewRoman" w:hAnsi="TimesNewRoman" w:hint="eastAsia"/>
                <w:sz w:val="24"/>
              </w:rPr>
              <w:t>1</w:t>
            </w:r>
            <w:r w:rsidR="00EC1D56">
              <w:rPr>
                <w:rFonts w:ascii="TimesNewRoman" w:hAnsi="TimesNewRoman"/>
                <w:sz w:val="24"/>
              </w:rPr>
              <w:t>1</w:t>
            </w:r>
            <w:r w:rsidRPr="00943E94">
              <w:rPr>
                <w:rFonts w:ascii="TimesNewRoman" w:hAnsi="宋体"/>
                <w:sz w:val="24"/>
              </w:rPr>
              <w:t>日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</w:t>
            </w:r>
            <w:r w:rsidR="00EC1D56">
              <w:rPr>
                <w:rFonts w:ascii="TimesNewRoman" w:hAnsi="TimesNewRoman"/>
                <w:sz w:val="24"/>
              </w:rPr>
              <w:t>9</w:t>
            </w:r>
            <w:r w:rsidR="00EC1D56">
              <w:rPr>
                <w:rFonts w:ascii="TimesNewRoman" w:hAnsi="TimesNewRoman" w:hint="eastAsia"/>
                <w:sz w:val="24"/>
              </w:rPr>
              <w:t>:</w:t>
            </w:r>
            <w:r w:rsidR="00EC1D56">
              <w:rPr>
                <w:rFonts w:ascii="TimesNewRoman" w:hAnsi="TimesNewRoman"/>
                <w:sz w:val="24"/>
              </w:rPr>
              <w:t>30-11</w:t>
            </w:r>
            <w:r w:rsidR="00EC1D56">
              <w:rPr>
                <w:rFonts w:ascii="TimesNewRoman" w:hAnsi="TimesNewRoman" w:hint="eastAsia"/>
                <w:sz w:val="24"/>
              </w:rPr>
              <w:t>:</w:t>
            </w:r>
            <w:r w:rsidR="00EC1D56">
              <w:rPr>
                <w:rFonts w:ascii="TimesNewRoman" w:hAnsi="TimesNewRoman"/>
                <w:sz w:val="24"/>
              </w:rPr>
              <w:t>30</w:t>
            </w:r>
          </w:p>
        </w:tc>
      </w:tr>
      <w:tr w:rsidR="00D3704D" w:rsidRPr="00943E94" w:rsidTr="008004CB">
        <w:trPr>
          <w:trHeight w:val="380"/>
        </w:trPr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</w:tcPr>
          <w:p w:rsidR="00D3704D" w:rsidRPr="00943E94" w:rsidRDefault="00EC1D56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宋体" w:hint="eastAsia"/>
                <w:sz w:val="24"/>
              </w:rPr>
              <w:t>公司福永总部</w:t>
            </w:r>
            <w:r>
              <w:rPr>
                <w:rFonts w:ascii="TimesNewRoman" w:hAnsi="TimesNewRoman"/>
                <w:sz w:val="24"/>
              </w:rPr>
              <w:t>3</w:t>
            </w:r>
            <w:r w:rsidRPr="00943E94">
              <w:rPr>
                <w:rFonts w:ascii="TimesNewRoman" w:hAnsi="宋体" w:hint="eastAsia"/>
                <w:sz w:val="24"/>
              </w:rPr>
              <w:t>楼会议室</w:t>
            </w:r>
          </w:p>
        </w:tc>
      </w:tr>
      <w:tr w:rsidR="00D3704D" w:rsidRPr="00943E94" w:rsidTr="008004CB"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</w:tcPr>
          <w:p w:rsidR="008B460B" w:rsidRDefault="00B559A3" w:rsidP="008004CB">
            <w:pPr>
              <w:spacing w:line="480" w:lineRule="atLeast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sz w:val="24"/>
              </w:rPr>
              <w:t>雷迪奥销售总监郭彬女士</w:t>
            </w:r>
          </w:p>
          <w:p w:rsidR="008B460B" w:rsidRDefault="00B559A3" w:rsidP="008004CB">
            <w:pPr>
              <w:spacing w:line="480" w:lineRule="atLeast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sz w:val="24"/>
              </w:rPr>
              <w:t>显示</w:t>
            </w:r>
            <w:r w:rsidRPr="004401A3">
              <w:rPr>
                <w:rFonts w:ascii="TimesNewRoman" w:hAnsi="宋体" w:hint="eastAsia"/>
                <w:sz w:val="24"/>
              </w:rPr>
              <w:t>事业部</w:t>
            </w:r>
            <w:r>
              <w:rPr>
                <w:rFonts w:ascii="TimesNewRoman" w:hAnsi="宋体" w:hint="eastAsia"/>
                <w:sz w:val="24"/>
              </w:rPr>
              <w:t>国内销售总监艾志华</w:t>
            </w:r>
            <w:r w:rsidRPr="004401A3">
              <w:rPr>
                <w:rFonts w:ascii="TimesNewRoman" w:hAnsi="宋体" w:hint="eastAsia"/>
                <w:sz w:val="24"/>
              </w:rPr>
              <w:t>先生</w:t>
            </w:r>
          </w:p>
          <w:p w:rsidR="00F019FE" w:rsidRPr="00F019FE" w:rsidRDefault="004401A3" w:rsidP="008004CB">
            <w:pPr>
              <w:spacing w:line="480" w:lineRule="atLeast"/>
              <w:rPr>
                <w:rFonts w:ascii="TimesNewRoman" w:hAnsi="宋体"/>
                <w:sz w:val="24"/>
              </w:rPr>
            </w:pPr>
            <w:r w:rsidRPr="004401A3">
              <w:rPr>
                <w:rFonts w:ascii="TimesNewRoman" w:hAnsi="宋体" w:hint="eastAsia"/>
                <w:sz w:val="24"/>
              </w:rPr>
              <w:t>董秘徐朋</w:t>
            </w:r>
            <w:r w:rsidR="00EC1D56">
              <w:rPr>
                <w:rFonts w:ascii="TimesNewRoman" w:hAnsi="宋体" w:hint="eastAsia"/>
                <w:sz w:val="24"/>
              </w:rPr>
              <w:t>先生</w:t>
            </w:r>
          </w:p>
        </w:tc>
      </w:tr>
      <w:tr w:rsidR="00D3704D" w:rsidRPr="00943E94" w:rsidTr="008004CB">
        <w:trPr>
          <w:trHeight w:val="699"/>
        </w:trPr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（一）</w:t>
            </w:r>
            <w:r w:rsidR="009C50BB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雷迪奥销售总监郭彬女士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简要介绍</w:t>
            </w:r>
            <w:r w:rsidR="009C50BB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雷迪奥公司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  <w:p w:rsidR="002932A1" w:rsidRDefault="002932A1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深圳市雷迪奥</w:t>
            </w:r>
            <w:r w:rsid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视觉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技术有限公司</w:t>
            </w:r>
            <w:r w:rsid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（以下简称“雷迪奥”）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成立于2006年，是一家自主研发</w:t>
            </w:r>
            <w:r w:rsid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生产</w:t>
            </w:r>
            <w:r w:rsid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销售LED舞台显示设备及创意类LED显示屏的专业制造商。</w:t>
            </w:r>
            <w:r w:rsid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雷迪奥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专注于研发生产超轻、超薄、简洁、通透</w:t>
            </w:r>
            <w:r w:rsidR="008B460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可变柔性结构</w:t>
            </w:r>
            <w:r w:rsidR="008B460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能实现多种创意组合的LED</w:t>
            </w:r>
            <w:r w:rsidR="00EF3B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显示屏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，广泛应用于全球各大舞台、展览展示、创意显示、特殊工程项目等，致力成为全球最专业的创意型LED</w:t>
            </w:r>
            <w:r w:rsidRPr="002932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显示系统方案供应商。</w:t>
            </w:r>
          </w:p>
          <w:p w:rsidR="00FF11B5" w:rsidRDefault="00FF11B5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="00EF3B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年来，雷迪奥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心无旁骛、精益求精，以匠人精神将LED租赁类显示屏及创意类显示屏做到了细分领域的极致，成为中国第一个同时获得德国红点奖、德国IF金奖、日本G-Mark奖</w:t>
            </w:r>
            <w:r w:rsidR="00EF3B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、美国IDEA奖、红星奖金奖、亚洲最具影响力设计金奖6项大奖的企业</w:t>
            </w:r>
            <w:r w:rsidR="00DB0B8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雷迪奥基于对市场敏感的研判</w:t>
            </w:r>
            <w:r w:rsidR="008B460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在研发和设计上持续的投入</w:t>
            </w:r>
            <w:r w:rsidR="008B460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严格把控生产工艺流程</w:t>
            </w:r>
            <w:r w:rsidR="008B460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对产品质量近乎苛刻的要求是其能持续保持稳定增长的</w:t>
            </w:r>
            <w:r w:rsid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重要因素</w:t>
            </w:r>
            <w:r w:rsidR="00EF3B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卓越的创新观念、独特的产品设计是雷迪奥能成为LED租赁类及创意类显示屏佼佼者的核心竞争力。</w:t>
            </w:r>
          </w:p>
          <w:p w:rsidR="002932A1" w:rsidRDefault="00FF11B5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未来，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雷迪奥将在产品上往更小间距、更高密度、更轻薄、更灵活的方式设计、应用及推广，以满足客户的需求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，并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继续借助上市公司的平台优势，坚定不移的向舞台演艺综合性解决方案供应商转型，通过参股、外延并购的方式往创意视频内容制作、舞台控制系统、舞台机械、舞台灯光、AR/VR等领域进行纵深式的探索及</w:t>
            </w:r>
            <w:r w:rsidR="009D0B5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布局</w:t>
            </w:r>
            <w:r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，以此打造完整、可持续的高端视觉领域生态链。</w:t>
            </w:r>
          </w:p>
          <w:p w:rsidR="005C1B38" w:rsidRPr="004401A3" w:rsidRDefault="00EF3B7D" w:rsidP="005C1B38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（二）洲明科技显示事业部国内销售总监艾志华先生简要介绍母公司</w:t>
            </w:r>
            <w:r w:rsidR="005C1B3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显示屏业务情况</w:t>
            </w:r>
          </w:p>
          <w:p w:rsidR="005C1B38" w:rsidRDefault="005C1B38" w:rsidP="005C1B3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，洲明科技紧紧把握</w:t>
            </w:r>
            <w:r w:rsid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小间距L</w:t>
            </w:r>
            <w:r w:rsidR="00256CBC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ED</w:t>
            </w:r>
            <w:r w:rsid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发展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的机遇，顺势而为</w:t>
            </w:r>
            <w:r w:rsid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，实现了业绩的快速增长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。从产品研发、市场拓展、营销展示、售后服务等四个环节全方位为客户提供服务，增强公司在大项目上的核心竞争力。</w:t>
            </w:r>
          </w:p>
          <w:p w:rsidR="00256CBC" w:rsidRDefault="00256CBC" w:rsidP="005C1B3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为满足LED小间距市场如火如荼的订单的需求，大亚湾二期厂房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已</w:t>
            </w:r>
            <w:r w:rsidRP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于2017年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256CB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开工，公司致力于将其打造成全球最大的LED显示“智”造基地，届时将实现物流自动化、生产自动化、信息自动化，在效率和成本上，做到全球领先，从工业3.0升级到工业4.0。建成后，公司小间距产能将进一步提升。</w:t>
            </w:r>
          </w:p>
          <w:p w:rsidR="005C1B38" w:rsidRPr="005C1B38" w:rsidRDefault="005C1B38" w:rsidP="005C1B3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未来，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除了不断升级</w:t>
            </w:r>
            <w:r w:rsidR="00FB739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推出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更贴近用户的产品外，公司在大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屏互动、大屏可视化、大屏数据监测、精准营销等应用领域也</w:t>
            </w:r>
            <w:r w:rsidR="00FB739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将</w:t>
            </w:r>
            <w:r w:rsidRPr="005C1B3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不断进行探索，相信长期的研发投入及技术积累定能带来LED显示屏又一次的技术变革。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56CB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三</w:t>
            </w: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）投资者提出的主要问题及公司回复情况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公司就投资者在本次</w:t>
            </w:r>
            <w:r w:rsidR="00DB0B8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会议</w:t>
            </w: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上提出的普遍关心问题进行了回复，具体如下：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="00256CB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公司2</w:t>
            </w:r>
            <w:r w:rsidR="00256CBC"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017</w:t>
            </w:r>
            <w:r w:rsidR="00256CB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年的业绩情况如何</w:t>
            </w:r>
            <w:r w:rsidR="00B90BC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4401A3" w:rsidRDefault="004401A3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 w:rsid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公司已于1月1</w:t>
            </w:r>
            <w:r w:rsidR="00BB7D8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0</w:t>
            </w:r>
            <w:r w:rsid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号发布业绩预告，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预计2017年度营业收入约为30亿元，同比增长约70%，归属于上市公司股东的净利润2.85亿</w:t>
            </w:r>
            <w:r w:rsidR="00BB7D8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-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3.15亿元，同比增长71.22%</w:t>
            </w:r>
            <w:r w:rsidR="00BB7D8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-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89.24%。2017年，公司把握市场需求，扩大产能，突破产品供给瓶颈</w:t>
            </w:r>
            <w:r w:rsidR="00DB0B8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推进国内外渠道升级，助力显示屏业务的全面增长。全资子公司雷迪奥加强海外布局投入，核心产品进行升级换代，拓展了海外市场份额及应用场景，销售收入取得较大增长。</w:t>
            </w:r>
            <w:r w:rsidR="00DB0B8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预计非经常性损益对净利润的影响金额约为1,700万元，汇兑损失约为3,700万元</w:t>
            </w:r>
            <w:r w:rsid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BB7D88" w:rsidRPr="00BB7D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对归属于上市公司股东的净利润产生了一定的影响。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2、</w:t>
            </w:r>
            <w:r w:rsidR="00E62CC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目前，小间距L</w:t>
            </w:r>
            <w:r w:rsidR="00E62CC4"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ED</w:t>
            </w:r>
            <w:r w:rsidR="00E62CC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的主要应用场景开始向商用市场渗透，公司在商用领域是如何布局的</w:t>
            </w: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4401A3" w:rsidRPr="00E62CC4" w:rsidRDefault="004401A3" w:rsidP="004401A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 w:rsidR="00E62CC4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目前小间距已有应用在高端零售商店、视频会议、展览展会、教育等领域的案例。未来，随着芯片技术及封装技术的进一步提升，LED小间距</w:t>
            </w:r>
            <w:bookmarkStart w:id="0" w:name="_GoBack"/>
            <w:bookmarkEnd w:id="0"/>
            <w:r w:rsidR="00E62CC4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显示屏的点间距有望进一步突破，且在AR/VR、裸眼3D</w:t>
            </w:r>
            <w:r w:rsidR="00871A2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等热门技术结合的应用下，有望</w:t>
            </w:r>
            <w:r w:rsidR="00FB739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开启</w:t>
            </w:r>
            <w:r w:rsidR="00E62CC4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110寸以上大屏幕高端家用电视、影院、放映厅等领域。公司也一直在密切关注</w:t>
            </w:r>
            <w:r w:rsid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相关产品的</w:t>
            </w:r>
            <w:r w:rsidR="00E62CC4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新技术和新工艺的发展趋势,通过引进国内外高端技术人才、组建专业的研发团队等方式不断提升研发水平，</w:t>
            </w:r>
            <w:r w:rsidR="00281C8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做好产品储备，</w:t>
            </w:r>
            <w:r w:rsidR="00E62CC4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持续保持行业领先地位。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3、公司</w:t>
            </w:r>
            <w:r w:rsidR="00474CEB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先后</w:t>
            </w:r>
            <w:r w:rsidR="00D2083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收购了几家景观照明的公司，为什么会选择进入景观照明的市场</w:t>
            </w: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4401A3" w:rsidRDefault="004401A3" w:rsidP="00FE669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回复：</w:t>
            </w:r>
            <w:r w:rsid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首先，景观亮化是</w:t>
            </w:r>
            <w:r w:rsidR="00D20834"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体现城市文化、内容最快、最有效果、成本最少的方式之一，直接感官好，</w:t>
            </w:r>
            <w:r w:rsid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全国各个城市都有景观照明项目的需求，具有广阔的</w:t>
            </w:r>
            <w:r w:rsidR="00D20834"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市场空间</w:t>
            </w:r>
            <w:r w:rsid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="000649C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其次，</w:t>
            </w:r>
            <w:r w:rsid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目前市场上</w:t>
            </w:r>
            <w:r w:rsidR="00D20834"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景观照明与显示屏相结合的情形越来越多，未来照明与显示屏统一打包的业务是发展趋势，公司在LED显示方面具有领先优势，布局景观照明未来能与显示</w:t>
            </w:r>
            <w:r w:rsidR="00FB739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业务</w:t>
            </w:r>
            <w:r w:rsidR="00D20834"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协同发展。</w:t>
            </w:r>
          </w:p>
          <w:p w:rsidR="004401A3" w:rsidRPr="004401A3" w:rsidRDefault="004401A3" w:rsidP="004401A3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4、</w:t>
            </w:r>
            <w:r w:rsidR="00D2083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请问雷迪奥未来的发展战略是什么？</w:t>
            </w:r>
          </w:p>
          <w:p w:rsidR="00812B86" w:rsidRDefault="004401A3" w:rsidP="009D0B5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 w:rsid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从显示屏的竞争格局来看，雷迪奥处于产品市场金字塔的顶端，与全球顶级租赁商建立了相当稳定的长期合作伙伴关系，在舞台租赁领域拥有极强的品牌辨识度和品牌影响力。未来，雷迪奥将坚持研发卓越的产品，追求极致的用户体验，适时向海外租赁市场推出最新产品。</w:t>
            </w:r>
            <w:r w:rsidR="009D0B5E"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通过参股、外延并购的方式向舞台演艺综合性解决方案供应商转型，往创意视频内容制作、舞台控制系统、舞台机械、舞台灯光、AR/VR等领域进行纵深式的探索及</w:t>
            </w:r>
            <w:r w:rsidR="009D0B5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布局</w:t>
            </w:r>
            <w:r w:rsidR="009D0B5E" w:rsidRPr="00FF11B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，以此打造完整、可持续的高端视觉领域生态链。</w:t>
            </w:r>
          </w:p>
          <w:p w:rsidR="009D0B5E" w:rsidRPr="0014748C" w:rsidRDefault="009D0B5E" w:rsidP="009D0B5E">
            <w:pPr>
              <w:spacing w:line="360" w:lineRule="auto"/>
              <w:ind w:firstLineChars="200" w:firstLine="480"/>
              <w:rPr>
                <w:rFonts w:ascii="TimesNewRoman"/>
                <w:sz w:val="24"/>
                <w:szCs w:val="24"/>
              </w:rPr>
            </w:pPr>
          </w:p>
          <w:p w:rsidR="00D3704D" w:rsidRPr="00943E94" w:rsidRDefault="00D3704D" w:rsidP="00A30CC8">
            <w:pPr>
              <w:spacing w:line="360" w:lineRule="auto"/>
              <w:ind w:firstLineChars="200" w:firstLine="480"/>
              <w:jc w:val="lef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int="eastAsia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D3704D" w:rsidRPr="00943E94" w:rsidTr="008004CB"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Ansi="宋体" w:hint="eastAsia"/>
                <w:sz w:val="24"/>
                <w:szCs w:val="24"/>
              </w:rPr>
              <w:t>无</w:t>
            </w:r>
          </w:p>
        </w:tc>
      </w:tr>
      <w:tr w:rsidR="00D3704D" w:rsidRPr="00943E94" w:rsidTr="008004CB"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4401A3">
            <w:pPr>
              <w:spacing w:line="480" w:lineRule="atLeas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Ansi="TimesNewRoman" w:hint="eastAsia"/>
                <w:sz w:val="24"/>
                <w:szCs w:val="24"/>
              </w:rPr>
              <w:t>201</w:t>
            </w:r>
            <w:r w:rsidR="009D0B5E">
              <w:rPr>
                <w:rFonts w:ascii="TimesNewRoman" w:hAnsi="TimesNewRoman"/>
                <w:sz w:val="24"/>
                <w:szCs w:val="24"/>
              </w:rPr>
              <w:t>8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年</w:t>
            </w:r>
            <w:r w:rsidR="00CE3A25">
              <w:rPr>
                <w:rFonts w:ascii="TimesNewRoman" w:hAnsi="TimesNewRoman" w:hint="eastAsia"/>
                <w:sz w:val="24"/>
                <w:szCs w:val="24"/>
              </w:rPr>
              <w:t>1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月</w:t>
            </w:r>
            <w:r w:rsidR="0014748C">
              <w:rPr>
                <w:rFonts w:ascii="TimesNewRoman" w:hAnsi="TimesNewRoman" w:hint="eastAsia"/>
                <w:sz w:val="24"/>
                <w:szCs w:val="24"/>
              </w:rPr>
              <w:t>1</w:t>
            </w:r>
            <w:r w:rsidR="006D59F1">
              <w:rPr>
                <w:rFonts w:ascii="TimesNewRoman" w:hAnsi="TimesNewRoman"/>
                <w:sz w:val="24"/>
                <w:szCs w:val="24"/>
              </w:rPr>
              <w:t>2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日</w:t>
            </w:r>
          </w:p>
        </w:tc>
      </w:tr>
    </w:tbl>
    <w:p w:rsidR="00D3704D" w:rsidRPr="00943E94" w:rsidRDefault="00D3704D" w:rsidP="00D3704D">
      <w:pPr>
        <w:rPr>
          <w:rFonts w:ascii="TimesNewRoman" w:hAnsi="TimesNewRoman" w:hint="eastAsia"/>
        </w:rPr>
      </w:pPr>
    </w:p>
    <w:p w:rsidR="00D3704D" w:rsidRPr="00943E94" w:rsidRDefault="00D3704D" w:rsidP="00D3704D">
      <w:pPr>
        <w:rPr>
          <w:rFonts w:ascii="TimesNewRoman" w:hAnsi="TimesNewRoman" w:hint="eastAsia"/>
        </w:rPr>
      </w:pPr>
    </w:p>
    <w:p w:rsidR="00E80235" w:rsidRPr="00943E94" w:rsidRDefault="00E80235">
      <w:pPr>
        <w:rPr>
          <w:rFonts w:ascii="TimesNewRoman" w:hAnsi="TimesNewRoman" w:hint="eastAsia"/>
        </w:rPr>
      </w:pPr>
    </w:p>
    <w:sectPr w:rsidR="00E80235" w:rsidRPr="00943E94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28" w:rsidRDefault="00B11A28" w:rsidP="00D3704D">
      <w:r>
        <w:separator/>
      </w:r>
    </w:p>
  </w:endnote>
  <w:endnote w:type="continuationSeparator" w:id="0">
    <w:p w:rsidR="00B11A28" w:rsidRDefault="00B11A28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28" w:rsidRDefault="00B11A28" w:rsidP="00D3704D">
      <w:r>
        <w:separator/>
      </w:r>
    </w:p>
  </w:footnote>
  <w:footnote w:type="continuationSeparator" w:id="0">
    <w:p w:rsidR="00B11A28" w:rsidRDefault="00B11A28" w:rsidP="00D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D"/>
    <w:rsid w:val="0001134B"/>
    <w:rsid w:val="00016D7C"/>
    <w:rsid w:val="00041BD6"/>
    <w:rsid w:val="00045A41"/>
    <w:rsid w:val="000649C3"/>
    <w:rsid w:val="000846EC"/>
    <w:rsid w:val="000963FF"/>
    <w:rsid w:val="000D0E7C"/>
    <w:rsid w:val="00100FB7"/>
    <w:rsid w:val="001254C0"/>
    <w:rsid w:val="00136249"/>
    <w:rsid w:val="00136A3B"/>
    <w:rsid w:val="00140353"/>
    <w:rsid w:val="0014748C"/>
    <w:rsid w:val="0018028C"/>
    <w:rsid w:val="001828EB"/>
    <w:rsid w:val="001A5A36"/>
    <w:rsid w:val="001C6DC4"/>
    <w:rsid w:val="002137E2"/>
    <w:rsid w:val="002264AA"/>
    <w:rsid w:val="00241ED6"/>
    <w:rsid w:val="00246516"/>
    <w:rsid w:val="00256CBC"/>
    <w:rsid w:val="002633B7"/>
    <w:rsid w:val="00281C82"/>
    <w:rsid w:val="002910E9"/>
    <w:rsid w:val="002932A1"/>
    <w:rsid w:val="002A5EDA"/>
    <w:rsid w:val="002C249C"/>
    <w:rsid w:val="00337761"/>
    <w:rsid w:val="00366D14"/>
    <w:rsid w:val="00370EE6"/>
    <w:rsid w:val="003C23EA"/>
    <w:rsid w:val="003D0B0D"/>
    <w:rsid w:val="003E6CF9"/>
    <w:rsid w:val="003F018A"/>
    <w:rsid w:val="00416724"/>
    <w:rsid w:val="00421CAC"/>
    <w:rsid w:val="00422D27"/>
    <w:rsid w:val="004401A3"/>
    <w:rsid w:val="004422C1"/>
    <w:rsid w:val="0044659F"/>
    <w:rsid w:val="004511AD"/>
    <w:rsid w:val="0046364D"/>
    <w:rsid w:val="00474CEB"/>
    <w:rsid w:val="004A0EBC"/>
    <w:rsid w:val="004C4573"/>
    <w:rsid w:val="004F3751"/>
    <w:rsid w:val="00502D46"/>
    <w:rsid w:val="00511DA7"/>
    <w:rsid w:val="005341CB"/>
    <w:rsid w:val="005B5582"/>
    <w:rsid w:val="005C1B38"/>
    <w:rsid w:val="005E11B8"/>
    <w:rsid w:val="00691AD0"/>
    <w:rsid w:val="006D42A9"/>
    <w:rsid w:val="006D59F1"/>
    <w:rsid w:val="006E18AA"/>
    <w:rsid w:val="006F05CE"/>
    <w:rsid w:val="006F3FA6"/>
    <w:rsid w:val="0070033E"/>
    <w:rsid w:val="00727C04"/>
    <w:rsid w:val="0076447D"/>
    <w:rsid w:val="007B76EC"/>
    <w:rsid w:val="007E49F6"/>
    <w:rsid w:val="00812B86"/>
    <w:rsid w:val="00822259"/>
    <w:rsid w:val="00825D5E"/>
    <w:rsid w:val="00847AFF"/>
    <w:rsid w:val="00871A26"/>
    <w:rsid w:val="00883D42"/>
    <w:rsid w:val="008B460B"/>
    <w:rsid w:val="008E1538"/>
    <w:rsid w:val="008E2BFB"/>
    <w:rsid w:val="008E76FF"/>
    <w:rsid w:val="009027BF"/>
    <w:rsid w:val="00932A6C"/>
    <w:rsid w:val="00941380"/>
    <w:rsid w:val="00943E94"/>
    <w:rsid w:val="0095733F"/>
    <w:rsid w:val="009B1061"/>
    <w:rsid w:val="009C0B5A"/>
    <w:rsid w:val="009C50BB"/>
    <w:rsid w:val="009D0B5E"/>
    <w:rsid w:val="009D11B8"/>
    <w:rsid w:val="009D5F85"/>
    <w:rsid w:val="00A11C23"/>
    <w:rsid w:val="00A30CC8"/>
    <w:rsid w:val="00A7584E"/>
    <w:rsid w:val="00A92AD4"/>
    <w:rsid w:val="00AB6086"/>
    <w:rsid w:val="00AD4C75"/>
    <w:rsid w:val="00AE7FF6"/>
    <w:rsid w:val="00B00CDE"/>
    <w:rsid w:val="00B11A28"/>
    <w:rsid w:val="00B246C1"/>
    <w:rsid w:val="00B37BD0"/>
    <w:rsid w:val="00B37DDB"/>
    <w:rsid w:val="00B40F71"/>
    <w:rsid w:val="00B559A3"/>
    <w:rsid w:val="00B85DA8"/>
    <w:rsid w:val="00B90BC3"/>
    <w:rsid w:val="00BB7D88"/>
    <w:rsid w:val="00BC7406"/>
    <w:rsid w:val="00C25D36"/>
    <w:rsid w:val="00C30B8F"/>
    <w:rsid w:val="00C35433"/>
    <w:rsid w:val="00C64189"/>
    <w:rsid w:val="00CA6204"/>
    <w:rsid w:val="00CA774D"/>
    <w:rsid w:val="00CD03F9"/>
    <w:rsid w:val="00CE3A25"/>
    <w:rsid w:val="00CE3BE3"/>
    <w:rsid w:val="00D20834"/>
    <w:rsid w:val="00D21866"/>
    <w:rsid w:val="00D3704D"/>
    <w:rsid w:val="00D66C56"/>
    <w:rsid w:val="00D934AE"/>
    <w:rsid w:val="00DA2DE9"/>
    <w:rsid w:val="00DB0B87"/>
    <w:rsid w:val="00DC3E35"/>
    <w:rsid w:val="00DE1483"/>
    <w:rsid w:val="00E23AE5"/>
    <w:rsid w:val="00E425C7"/>
    <w:rsid w:val="00E542BE"/>
    <w:rsid w:val="00E62CC4"/>
    <w:rsid w:val="00E80235"/>
    <w:rsid w:val="00E83A63"/>
    <w:rsid w:val="00EC1D56"/>
    <w:rsid w:val="00EE62D5"/>
    <w:rsid w:val="00EF3B7D"/>
    <w:rsid w:val="00F019FE"/>
    <w:rsid w:val="00F10609"/>
    <w:rsid w:val="00F22C6B"/>
    <w:rsid w:val="00F22E84"/>
    <w:rsid w:val="00F32670"/>
    <w:rsid w:val="00F575CB"/>
    <w:rsid w:val="00F67693"/>
    <w:rsid w:val="00F8703D"/>
    <w:rsid w:val="00F91AFD"/>
    <w:rsid w:val="00FB20BD"/>
    <w:rsid w:val="00FB739E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FC9B"/>
  <w15:docId w15:val="{D346DE6D-110B-4CE5-88E6-279ABB6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4138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38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陈偲</cp:lastModifiedBy>
  <cp:revision>2</cp:revision>
  <dcterms:created xsi:type="dcterms:W3CDTF">2018-01-12T11:17:00Z</dcterms:created>
  <dcterms:modified xsi:type="dcterms:W3CDTF">2018-01-12T11:17:00Z</dcterms:modified>
</cp:coreProperties>
</file>